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1E" w:rsidRPr="00AD60DC" w:rsidRDefault="00492832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bookmarkStart w:id="0" w:name="_GoBack"/>
      <w:bookmarkEnd w:id="0"/>
      <w:r>
        <w:rPr>
          <w:rStyle w:val="Bold"/>
          <w:rFonts w:asciiTheme="minorHAnsi" w:hAnsiTheme="minorHAnsi"/>
        </w:rPr>
        <w:t xml:space="preserve"> W</w:t>
      </w:r>
      <w:r w:rsidR="006B3A1E" w:rsidRPr="00AD60DC">
        <w:rPr>
          <w:rStyle w:val="Bold"/>
          <w:rFonts w:asciiTheme="minorHAnsi" w:hAnsiTheme="minorHAnsi"/>
        </w:rPr>
        <w:t>ymagan</w:t>
      </w:r>
      <w:r w:rsidR="00F829A9">
        <w:rPr>
          <w:rStyle w:val="Bold"/>
          <w:rFonts w:asciiTheme="minorHAnsi" w:hAnsiTheme="minorHAnsi"/>
        </w:rPr>
        <w:t>ia na poszczególne oceny szkolne</w:t>
      </w:r>
    </w:p>
    <w:p w:rsidR="006B3A1E" w:rsidRPr="006112E1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6112E1">
        <w:rPr>
          <w:rStyle w:val="Bold"/>
          <w:rFonts w:asciiTheme="minorHAnsi" w:hAnsiTheme="minorHAnsi"/>
          <w:color w:val="154194"/>
        </w:rPr>
        <w:t>Klasa 7</w:t>
      </w:r>
      <w:r w:rsidR="006112E1" w:rsidRPr="006112E1">
        <w:rPr>
          <w:rStyle w:val="Bold"/>
          <w:rFonts w:asciiTheme="minorHAnsi" w:hAnsiTheme="minorHAnsi"/>
          <w:color w:val="154194"/>
        </w:rPr>
        <w:t>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i przeprowadza doświadczenie, w którym rozróżnia obszary skóry bardziej wrażliwe na dotyk (opuszki palców) i mniej 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znaczenie tkanki kostnej zbitej i gąbczastej 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efekty doświadczenia z wypaleniem kości i jej moczeniem w kwasie, odwołując się do 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 xml:space="preserve">odżywcze, ich </w:t>
            </w:r>
            <w:r w:rsidRPr="00AD60DC">
              <w:rPr>
                <w:rFonts w:asciiTheme="minorHAnsi" w:hAnsiTheme="minorHAnsi"/>
              </w:rPr>
              <w:lastRenderedPageBreak/>
              <w:t>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podstawowe grupy składników </w:t>
            </w:r>
            <w:r w:rsidRPr="00AD60DC">
              <w:rPr>
                <w:rFonts w:asciiTheme="minorHAnsi" w:hAnsiTheme="minorHAnsi"/>
              </w:rPr>
              <w:lastRenderedPageBreak/>
              <w:t>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przeprowadza doświadczenie, </w:t>
            </w:r>
            <w:r w:rsidRPr="00AD60DC">
              <w:rPr>
                <w:rFonts w:asciiTheme="minorHAnsi" w:hAnsiTheme="minorHAnsi"/>
              </w:rPr>
              <w:lastRenderedPageBreak/>
              <w:t>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źródła aminokwasów i określa </w:t>
            </w:r>
            <w:r w:rsidRPr="00AD60DC">
              <w:rPr>
                <w:rFonts w:asciiTheme="minorHAnsi" w:hAnsiTheme="minorHAnsi"/>
              </w:rPr>
              <w:lastRenderedPageBreak/>
              <w:t>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znaczenie składników </w:t>
            </w:r>
            <w:r w:rsidRPr="00AD60DC">
              <w:rPr>
                <w:rFonts w:asciiTheme="minorHAnsi" w:hAnsiTheme="minorHAnsi"/>
              </w:rPr>
              <w:lastRenderedPageBreak/>
              <w:t>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planuje doświadczenie, w którym wykrywa </w:t>
            </w:r>
            <w:r w:rsidRPr="00AD60DC">
              <w:rPr>
                <w:rFonts w:asciiTheme="minorHAnsi" w:hAnsiTheme="minorHAnsi"/>
              </w:rPr>
              <w:lastRenderedPageBreak/>
              <w:t>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na podstawie etykiet zawartość składników odżywczych w wybranych produktach spożywczych (płatkach kukurydzianych, serze białym, maśle) i oblicza </w:t>
            </w:r>
            <w:r w:rsidRPr="00AD60DC">
              <w:rPr>
                <w:rFonts w:asciiTheme="minorHAnsi" w:hAnsiTheme="minorHAnsi"/>
              </w:rPr>
              <w:lastRenderedPageBreak/>
              <w:t>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</w:t>
            </w:r>
            <w:r w:rsidRPr="00AD60DC">
              <w:rPr>
                <w:rFonts w:asciiTheme="minorHAnsi" w:hAnsiTheme="minorHAnsi"/>
              </w:rPr>
              <w:lastRenderedPageBreak/>
              <w:t>z przedstawieniem 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choroby serca i układu </w:t>
            </w:r>
            <w:r w:rsidRPr="00AD60DC">
              <w:rPr>
                <w:rFonts w:asciiTheme="minorHAnsi" w:hAnsiTheme="minorHAnsi"/>
              </w:rPr>
              <w:lastRenderedPageBreak/>
              <w:t>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zasady </w:t>
            </w:r>
            <w:r w:rsidRPr="00AD60DC">
              <w:rPr>
                <w:rFonts w:asciiTheme="minorHAnsi" w:hAnsiTheme="minorHAnsi"/>
              </w:rPr>
              <w:lastRenderedPageBreak/>
              <w:t>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</w:t>
            </w:r>
            <w:r w:rsidRPr="00AD60DC">
              <w:rPr>
                <w:rFonts w:asciiTheme="minorHAnsi" w:hAnsiTheme="minorHAnsi"/>
              </w:rPr>
              <w:lastRenderedPageBreak/>
              <w:t xml:space="preserve">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przyczyny </w:t>
            </w:r>
            <w:proofErr w:type="spellStart"/>
            <w:r w:rsidRPr="00AD60DC">
              <w:rPr>
                <w:rFonts w:asciiTheme="minorHAnsi" w:hAnsiTheme="minorHAnsi"/>
              </w:rPr>
              <w:t>zachorowań</w:t>
            </w:r>
            <w:proofErr w:type="spellEnd"/>
            <w:r w:rsidRPr="00AD60DC">
              <w:rPr>
                <w:rFonts w:asciiTheme="minorHAnsi" w:hAnsiTheme="minorHAnsi"/>
              </w:rPr>
              <w:t xml:space="preserve">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35. Budowa </w:t>
            </w:r>
            <w:r w:rsidRPr="00AD60DC">
              <w:rPr>
                <w:rFonts w:asciiTheme="minorHAnsi" w:hAnsiTheme="minorHAnsi"/>
              </w:rPr>
              <w:lastRenderedPageBreak/>
              <w:t>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funkcje </w:t>
            </w:r>
            <w:r w:rsidRPr="00AD60DC">
              <w:rPr>
                <w:rFonts w:asciiTheme="minorHAnsi" w:hAnsiTheme="minorHAnsi"/>
              </w:rPr>
              <w:lastRenderedPageBreak/>
              <w:t>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związek </w:t>
            </w:r>
            <w:r w:rsidRPr="00AD60DC">
              <w:rPr>
                <w:rFonts w:asciiTheme="minorHAnsi" w:hAnsiTheme="minorHAnsi"/>
              </w:rPr>
              <w:lastRenderedPageBreak/>
              <w:t>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neuronów </w:t>
            </w:r>
            <w:r w:rsidRPr="00AD60DC">
              <w:rPr>
                <w:rFonts w:asciiTheme="minorHAnsi" w:hAnsiTheme="minorHAnsi"/>
              </w:rPr>
              <w:lastRenderedPageBreak/>
              <w:t>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przystosowania </w:t>
            </w:r>
            <w:r w:rsidRPr="00AD60DC">
              <w:rPr>
                <w:rFonts w:asciiTheme="minorHAnsi" w:hAnsiTheme="minorHAnsi"/>
              </w:rPr>
              <w:lastRenderedPageBreak/>
              <w:t>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38. Higiena układu </w:t>
            </w:r>
            <w:r w:rsidRPr="00AD60DC">
              <w:rPr>
                <w:rFonts w:asciiTheme="minorHAnsi" w:hAnsiTheme="minorHAnsi"/>
              </w:rPr>
              <w:lastRenderedPageBreak/>
              <w:t>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konieczność ochrony głowy przed </w:t>
            </w:r>
            <w:r w:rsidRPr="00AD60DC">
              <w:rPr>
                <w:rFonts w:asciiTheme="minorHAnsi" w:hAnsiTheme="minorHAnsi"/>
              </w:rPr>
              <w:lastRenderedPageBreak/>
              <w:t>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przykłady pozytywnego </w:t>
            </w:r>
            <w:r w:rsidRPr="00AD60DC">
              <w:rPr>
                <w:rFonts w:asciiTheme="minorHAnsi" w:hAnsiTheme="minorHAnsi"/>
              </w:rPr>
              <w:lastRenderedPageBreak/>
              <w:t>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skuteczne metody uczenia się </w:t>
            </w:r>
            <w:r w:rsidRPr="00AD60DC">
              <w:rPr>
                <w:rFonts w:asciiTheme="minorHAnsi" w:hAnsiTheme="minorHAnsi"/>
              </w:rPr>
              <w:lastRenderedPageBreak/>
              <w:t>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47. Budowa i funkcje żeńskiego układu </w:t>
            </w:r>
            <w:r w:rsidRPr="00AD60DC">
              <w:rPr>
                <w:rFonts w:asciiTheme="minorHAnsi" w:hAnsiTheme="minorHAnsi"/>
              </w:rPr>
              <w:lastRenderedPageBreak/>
              <w:t>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zmiany anatomiczne i fizjologiczne </w:t>
            </w:r>
            <w:r w:rsidRPr="00AD60DC">
              <w:rPr>
                <w:rFonts w:asciiTheme="minorHAnsi" w:hAnsiTheme="minorHAnsi"/>
              </w:rPr>
              <w:lastRenderedPageBreak/>
              <w:t>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poszczególnych elementów układu </w:t>
            </w:r>
            <w:r w:rsidRPr="00AD60DC">
              <w:rPr>
                <w:rFonts w:asciiTheme="minorHAnsi" w:hAnsiTheme="minorHAnsi"/>
              </w:rPr>
              <w:lastRenderedPageBreak/>
              <w:t>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jaka jest rola hormonów, w tym estrogenów, w okresie </w:t>
            </w:r>
            <w:r w:rsidRPr="00AD60DC">
              <w:rPr>
                <w:rFonts w:asciiTheme="minorHAnsi" w:hAnsiTheme="minorHAnsi"/>
              </w:rPr>
              <w:lastRenderedPageBreak/>
              <w:t>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uzasadnia, w jaki sposób budowa układu rozrodczego żeńskiego </w:t>
            </w:r>
            <w:r w:rsidRPr="00AD60DC">
              <w:rPr>
                <w:rFonts w:asciiTheme="minorHAnsi" w:hAnsiTheme="minorHAnsi"/>
              </w:rPr>
              <w:lastRenderedPageBreak/>
              <w:t>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</w:t>
            </w:r>
            <w:r w:rsidRPr="00AD60DC">
              <w:rPr>
                <w:rFonts w:asciiTheme="minorHAnsi" w:hAnsiTheme="minorHAnsi"/>
              </w:rPr>
              <w:lastRenderedPageBreak/>
              <w:t>człowieka 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etapy życia </w:t>
            </w:r>
            <w:r w:rsidRPr="00AD60DC">
              <w:rPr>
                <w:rFonts w:asciiTheme="minorHAnsi" w:hAnsiTheme="minorHAnsi"/>
              </w:rPr>
              <w:lastRenderedPageBreak/>
              <w:t>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charakteryzuje etapy </w:t>
            </w:r>
            <w:r w:rsidRPr="00AD60DC">
              <w:rPr>
                <w:rFonts w:asciiTheme="minorHAnsi" w:hAnsiTheme="minorHAnsi"/>
              </w:rPr>
              <w:lastRenderedPageBreak/>
              <w:t>życia człowieka po 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</w:t>
            </w:r>
            <w:r w:rsidRPr="00AD60DC">
              <w:rPr>
                <w:rFonts w:asciiTheme="minorHAnsi" w:hAnsiTheme="minorHAnsi"/>
              </w:rPr>
              <w:lastRenderedPageBreak/>
              <w:t>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</w:t>
            </w:r>
            <w:r w:rsidRPr="00AD60DC">
              <w:rPr>
                <w:rFonts w:asciiTheme="minorHAnsi" w:hAnsiTheme="minorHAnsi"/>
              </w:rPr>
              <w:lastRenderedPageBreak/>
              <w:t>polega społeczne 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</w:t>
            </w:r>
            <w:r w:rsidRPr="00AD60DC">
              <w:rPr>
                <w:rFonts w:asciiTheme="minorHAnsi" w:hAnsiTheme="minorHAnsi"/>
              </w:rPr>
              <w:lastRenderedPageBreak/>
              <w:t>i ograniczenia ludzi 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stężenia </w:t>
            </w:r>
            <w:r w:rsidRPr="00AD60DC">
              <w:rPr>
                <w:rFonts w:asciiTheme="minorHAnsi" w:hAnsiTheme="minorHAnsi"/>
              </w:rPr>
              <w:lastRenderedPageBreak/>
              <w:t>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zawartości 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na zdrowie człowieka (funkcjonowanie układu nerwowego) 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dlaczego e-papierosy mają </w:t>
            </w:r>
            <w:r w:rsidRPr="00AD60DC">
              <w:rPr>
                <w:rFonts w:asciiTheme="minorHAnsi" w:hAnsiTheme="minorHAnsi"/>
              </w:rPr>
              <w:lastRenderedPageBreak/>
              <w:t>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67" w:rsidRDefault="00725067" w:rsidP="00285D6F">
      <w:pPr>
        <w:spacing w:after="0" w:line="240" w:lineRule="auto"/>
      </w:pPr>
      <w:r>
        <w:separator/>
      </w:r>
    </w:p>
  </w:endnote>
  <w:endnote w:type="continuationSeparator" w:id="0">
    <w:p w:rsidR="00725067" w:rsidRDefault="0072506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49E70E" wp14:editId="2631F9A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6E053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</w:t>
    </w:r>
    <w:proofErr w:type="spellStart"/>
    <w:r w:rsidR="006B3A1E" w:rsidRPr="00565D2F">
      <w:t>Pyłka</w:t>
    </w:r>
    <w:proofErr w:type="spellEnd"/>
    <w:r w:rsidR="006B3A1E" w:rsidRPr="00565D2F">
      <w:t>-Gutowska Ewa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0FD89" wp14:editId="47AB726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21F37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7507E10" wp14:editId="0600D87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</w:rPr>
      <w:t xml:space="preserve">           </w:t>
    </w:r>
    <w:r w:rsidR="0083577E">
      <w:rPr>
        <w:noProof/>
      </w:rPr>
      <w:drawing>
        <wp:inline distT="0" distB="0" distL="0" distR="0" wp14:anchorId="697D5752" wp14:editId="088BDBE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112E1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67" w:rsidRDefault="00725067" w:rsidP="00285D6F">
      <w:pPr>
        <w:spacing w:after="0" w:line="240" w:lineRule="auto"/>
      </w:pPr>
      <w:r>
        <w:separator/>
      </w:r>
    </w:p>
  </w:footnote>
  <w:footnote w:type="continuationSeparator" w:id="0">
    <w:p w:rsidR="00725067" w:rsidRDefault="0072506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0B13E25" wp14:editId="7AA9D6F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60A8FDE0" wp14:editId="4E20581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92B22"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312138"/>
    <w:rsid w:val="00317434"/>
    <w:rsid w:val="003572A4"/>
    <w:rsid w:val="003B19DC"/>
    <w:rsid w:val="00435B7E"/>
    <w:rsid w:val="00492832"/>
    <w:rsid w:val="004D6136"/>
    <w:rsid w:val="00592B22"/>
    <w:rsid w:val="00602ABB"/>
    <w:rsid w:val="006112E1"/>
    <w:rsid w:val="00672759"/>
    <w:rsid w:val="006B3A1E"/>
    <w:rsid w:val="006B5810"/>
    <w:rsid w:val="00725067"/>
    <w:rsid w:val="0072740E"/>
    <w:rsid w:val="007B3CB5"/>
    <w:rsid w:val="007F03F4"/>
    <w:rsid w:val="0083577E"/>
    <w:rsid w:val="008648E0"/>
    <w:rsid w:val="0089186E"/>
    <w:rsid w:val="008C2636"/>
    <w:rsid w:val="008F020F"/>
    <w:rsid w:val="009130E5"/>
    <w:rsid w:val="00914856"/>
    <w:rsid w:val="009E0F62"/>
    <w:rsid w:val="00A239DF"/>
    <w:rsid w:val="00A5798A"/>
    <w:rsid w:val="00AB49BA"/>
    <w:rsid w:val="00B63701"/>
    <w:rsid w:val="00D22D55"/>
    <w:rsid w:val="00E13F86"/>
    <w:rsid w:val="00E94882"/>
    <w:rsid w:val="00EC12C2"/>
    <w:rsid w:val="00EE01FE"/>
    <w:rsid w:val="00F829A9"/>
    <w:rsid w:val="00FD3A8B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E20E8-989B-43DC-8DC9-251845F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E30A-4DC4-44F5-A60C-9757A1E2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4172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ola sad</cp:lastModifiedBy>
  <cp:revision>2</cp:revision>
  <dcterms:created xsi:type="dcterms:W3CDTF">2019-09-10T17:47:00Z</dcterms:created>
  <dcterms:modified xsi:type="dcterms:W3CDTF">2019-09-10T17:47:00Z</dcterms:modified>
</cp:coreProperties>
</file>