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inherit" w:hAnsi="inherit" w:eastAsia="Times New Roman" w:cs="Times New Roman"/>
          <w:b/>
          <w:b/>
          <w:bCs/>
          <w:color w:val="000000"/>
          <w:sz w:val="56"/>
          <w:szCs w:val="56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56"/>
          <w:szCs w:val="56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inherit" w:hAnsi="inherit" w:eastAsia="Times New Roman" w:cs="Times New Roman"/>
          <w:b/>
          <w:b/>
          <w:bCs/>
          <w:color w:val="000000"/>
          <w:sz w:val="56"/>
          <w:szCs w:val="56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56"/>
          <w:szCs w:val="56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inherit" w:hAnsi="inherit" w:eastAsia="Times New Roman" w:cs="Times New Roman"/>
          <w:b/>
          <w:b/>
          <w:bCs/>
          <w:color w:val="000000"/>
          <w:sz w:val="56"/>
          <w:szCs w:val="56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56"/>
          <w:szCs w:val="56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inherit" w:hAnsi="inherit" w:eastAsia="Times New Roman" w:cs="Times New Roman"/>
          <w:b/>
          <w:b/>
          <w:bCs/>
          <w:color w:val="000000"/>
          <w:sz w:val="56"/>
          <w:szCs w:val="56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56"/>
          <w:szCs w:val="56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center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56"/>
          <w:szCs w:val="56"/>
          <w:lang w:eastAsia="pl-PL"/>
        </w:rPr>
        <w:t>SPOSOBY SPRAWDZANIA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center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56"/>
          <w:szCs w:val="56"/>
          <w:lang w:eastAsia="pl-PL"/>
        </w:rPr>
        <w:t>OSIĄGNIĘĆ EDUKACYJNYCH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center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Arial" w:ascii="Arial" w:hAnsi="Arial"/>
          <w:color w:val="111111"/>
          <w:sz w:val="15"/>
          <w:szCs w:val="15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center"/>
        <w:textAlignment w:val="top"/>
        <w:rPr>
          <w:rFonts w:ascii="inherit" w:hAnsi="inherit" w:eastAsia="Times New Roman" w:cs="Times New Roman"/>
          <w:b/>
          <w:b/>
          <w:bCs/>
          <w:color w:val="000000"/>
          <w:sz w:val="56"/>
          <w:szCs w:val="56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56"/>
          <w:szCs w:val="56"/>
          <w:lang w:eastAsia="pl-PL"/>
        </w:rPr>
        <w:t>z WYCHOWANIA FIZYCZNEGO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center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56"/>
          <w:szCs w:val="56"/>
          <w:lang w:eastAsia="pl-PL"/>
        </w:rPr>
        <w:t>I PŁYWANIA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center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Arial" w:ascii="Arial" w:hAnsi="Arial"/>
          <w:color w:val="111111"/>
          <w:sz w:val="15"/>
          <w:szCs w:val="15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center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Arial" w:ascii="Arial" w:hAnsi="Arial"/>
          <w:color w:val="111111"/>
          <w:sz w:val="15"/>
          <w:szCs w:val="15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center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Arial" w:ascii="Arial" w:hAnsi="Arial"/>
          <w:color w:val="111111"/>
          <w:sz w:val="15"/>
          <w:szCs w:val="15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center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Arial" w:ascii="Arial" w:hAnsi="Arial"/>
          <w:color w:val="111111"/>
          <w:sz w:val="15"/>
          <w:szCs w:val="15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center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Arial" w:ascii="Arial" w:hAnsi="Arial"/>
          <w:color w:val="111111"/>
          <w:sz w:val="15"/>
          <w:szCs w:val="15"/>
          <w:lang w:eastAsia="pl-PL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left="291" w:hanging="0"/>
        <w:jc w:val="center"/>
        <w:textAlignment w:val="top"/>
        <w:outlineLvl w:val="0"/>
        <w:rPr>
          <w:rFonts w:ascii="Georgia" w:hAnsi="Georgia" w:eastAsia="Times New Roman" w:cs="Arial"/>
          <w:b/>
          <w:b/>
          <w:bCs/>
          <w:color w:val="000000"/>
          <w:kern w:val="2"/>
          <w:sz w:val="28"/>
          <w:szCs w:val="28"/>
          <w:lang w:eastAsia="pl-PL"/>
        </w:rPr>
      </w:pPr>
      <w:r>
        <w:rPr>
          <w:rFonts w:eastAsia="Times New Roman" w:cs="Arial" w:ascii="Georgia" w:hAnsi="Georgia"/>
          <w:b/>
          <w:bCs/>
          <w:color w:val="000000"/>
          <w:kern w:val="2"/>
          <w:sz w:val="28"/>
          <w:szCs w:val="28"/>
          <w:lang w:eastAsia="pl-PL"/>
        </w:rPr>
        <w:t>I etap edukacyjny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left="291" w:hanging="0"/>
        <w:jc w:val="center"/>
        <w:textAlignment w:val="top"/>
        <w:outlineLvl w:val="0"/>
        <w:rPr>
          <w:rFonts w:ascii="Georgia" w:hAnsi="Georgia" w:eastAsia="Times New Roman" w:cs="Arial"/>
          <w:b/>
          <w:b/>
          <w:bCs/>
          <w:color w:val="000000"/>
          <w:kern w:val="2"/>
          <w:sz w:val="28"/>
          <w:szCs w:val="28"/>
          <w:lang w:eastAsia="pl-PL"/>
        </w:rPr>
      </w:pPr>
      <w:r>
        <w:rPr>
          <w:rFonts w:eastAsia="Times New Roman" w:cs="Arial" w:ascii="Georgia" w:hAnsi="Georgia"/>
          <w:b/>
          <w:bCs/>
          <w:color w:val="000000"/>
          <w:kern w:val="2"/>
          <w:sz w:val="28"/>
          <w:szCs w:val="28"/>
          <w:lang w:eastAsia="pl-PL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left="291" w:hanging="0"/>
        <w:jc w:val="center"/>
        <w:textAlignment w:val="top"/>
        <w:outlineLvl w:val="0"/>
        <w:rPr>
          <w:rFonts w:ascii="Arial" w:hAnsi="Arial" w:eastAsia="Times New Roman" w:cs="Arial"/>
          <w:b/>
          <w:b/>
          <w:bCs/>
          <w:color w:val="222222"/>
          <w:kern w:val="2"/>
          <w:sz w:val="58"/>
          <w:szCs w:val="58"/>
          <w:lang w:eastAsia="pl-PL"/>
        </w:rPr>
      </w:pPr>
      <w:r>
        <w:rPr>
          <w:rFonts w:eastAsia="Times New Roman" w:cs="Arial" w:ascii="Georgia" w:hAnsi="Georgia"/>
          <w:b/>
          <w:bCs/>
          <w:color w:val="000000"/>
          <w:kern w:val="2"/>
          <w:sz w:val="28"/>
          <w:szCs w:val="28"/>
          <w:lang w:eastAsia="pl-PL"/>
        </w:rPr>
        <w:t>2024/2025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Arial" w:ascii="Arial" w:hAnsi="Arial"/>
          <w:color w:val="111111"/>
          <w:sz w:val="15"/>
          <w:szCs w:val="15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Arial" w:ascii="Arial" w:hAnsi="Arial"/>
          <w:color w:val="111111"/>
          <w:sz w:val="15"/>
          <w:szCs w:val="15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Arial" w:ascii="Arial" w:hAnsi="Arial"/>
          <w:color w:val="111111"/>
          <w:sz w:val="15"/>
          <w:szCs w:val="15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Arial" w:ascii="Arial" w:hAnsi="Arial"/>
          <w:color w:val="111111"/>
          <w:sz w:val="15"/>
          <w:szCs w:val="15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Arial" w:ascii="Arial" w:hAnsi="Arial"/>
          <w:color w:val="111111"/>
          <w:sz w:val="15"/>
          <w:szCs w:val="15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Arial" w:ascii="Arial" w:hAnsi="Arial"/>
          <w:color w:val="111111"/>
          <w:sz w:val="15"/>
          <w:szCs w:val="15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Arial" w:ascii="Arial" w:hAnsi="Arial"/>
          <w:color w:val="111111"/>
          <w:sz w:val="15"/>
          <w:szCs w:val="15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/>
      </w:r>
    </w:p>
    <w:p>
      <w:pPr>
        <w:pStyle w:val="Normal"/>
        <w:shd w:val="clear" w:color="auto" w:fill="FFFFFF"/>
        <w:ind w:left="294" w:right="12" w:hanging="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Wychowanie fizyczne pełni ważne funkcje edukacyjne, rozwojowe i  zdrowotne.</w:t>
      </w:r>
    </w:p>
    <w:p>
      <w:pPr>
        <w:pStyle w:val="Normal"/>
        <w:shd w:val="clear" w:color="auto" w:fill="FFFFFF"/>
        <w:ind w:left="294" w:right="12" w:hanging="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ind w:left="294" w:right="12" w:hanging="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Wspiera rozwój fizyczny, psychiczny, intelektualny i społeczny uczniów oraz kształtuje obyczaj aktywności fizycznej i troski o zdrowie w okresie całego życia. Wspomaga efektywność procesu uczenia się. Pełni wiodącą rolę w edukacji zdrowotnej uczniów. </w:t>
      </w:r>
    </w:p>
    <w:p>
      <w:pPr>
        <w:pStyle w:val="Normal"/>
        <w:shd w:val="clear" w:color="auto" w:fill="FFFFFF"/>
        <w:ind w:left="294" w:right="12" w:hanging="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ind w:left="294" w:right="12" w:hanging="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Oczekiwania wobec współczesnego wychowania fizycznego wymagają nowych standardów przygotowania ucznia do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całożyciowej aktywności fizycznej i troski </w:t>
        <w:br/>
        <w:t>o zdrowie.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 Wychowanie fizyczne to nie tylko przygotowanie sprawnościowe, ale przede wszystkim prozdrowotne. Pełni ono, oprócz swej funkcji doraźnej, również funkcję prospektywną. Przygotowuje do dokonywania w życiu wyborów korzystnych </w:t>
        <w:br/>
        <w:t>dla zdrowia. </w:t>
      </w:r>
    </w:p>
    <w:p>
      <w:pPr>
        <w:pStyle w:val="Normal"/>
        <w:shd w:val="clear" w:color="auto" w:fill="FFFFFF"/>
        <w:ind w:left="294" w:right="12" w:hanging="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ind w:left="294" w:right="12" w:hanging="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Założenia podstawy programowej oparte są na koncepcji sprawności fizycznej ukierunkowanej na zdrowie.</w:t>
      </w:r>
    </w:p>
    <w:p>
      <w:pPr>
        <w:pStyle w:val="Normal"/>
        <w:shd w:val="clear" w:color="auto" w:fill="FFFFFF"/>
        <w:ind w:left="294" w:right="12" w:hanging="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 </w:t>
      </w:r>
    </w:p>
    <w:p>
      <w:pPr>
        <w:pStyle w:val="Normal"/>
        <w:shd w:val="clear" w:color="auto" w:fill="FFFFFF"/>
        <w:ind w:left="294" w:right="12" w:hanging="0"/>
        <w:jc w:val="center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SPOSOBY SPRAWDZANIA OSIĄGNIĘĆ EDUKACYJNYCH </w:t>
        <w:tab/>
        <w:br/>
        <w:t>Z WYCHOWANIA FIZYCZNEGO I PŁYWANIA</w:t>
      </w:r>
    </w:p>
    <w:p>
      <w:pPr>
        <w:pStyle w:val="Normal"/>
        <w:shd w:val="clear" w:color="auto" w:fill="FFFFFF"/>
        <w:ind w:left="294" w:right="12" w:hanging="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numPr>
          <w:ilvl w:val="1"/>
          <w:numId w:val="1"/>
        </w:numPr>
        <w:shd w:val="clear" w:color="auto" w:fill="FFFFFF"/>
        <w:ind w:left="294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Na początku roku szkolnego (semestru) nauczyciele wychowania fizycznego informują uczniów i rodziców o ogólnych wymaganiach edukacyjnych i sposobach sprawdzania osiągnięć edukacyjnych z wychowania fizycznego, pływania co potwierdzają wpisem </w:t>
        <w:br/>
        <w:t>w dzienniku lekcyjnym.</w:t>
      </w:r>
    </w:p>
    <w:p>
      <w:pPr>
        <w:pStyle w:val="ListParagraph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Podstawą oceny ucznia jest systematyczna i konsekwentna kontrola jego pracy.</w:t>
      </w:r>
    </w:p>
    <w:p>
      <w:pPr>
        <w:pStyle w:val="ListParagraph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Ocena semestralna lub roczna ustalana jest na podstawie ocen cząstkowych za określony poziom wiadomości, umiejętności i kompetencji społecznych w procesie szkolnego wychowania fizycznego.</w:t>
      </w:r>
    </w:p>
    <w:p>
      <w:pPr>
        <w:pStyle w:val="ListParagraph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Ocena semestralna lub roczna nie jest średnią arytmetyczną ocen cząstkowych.</w:t>
      </w:r>
    </w:p>
    <w:p>
      <w:pPr>
        <w:pStyle w:val="ListParagraph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Przy ustalaniu oceny semestralnej i rocznej uwzględnia się przede wszystkim wysiłek ucznia, wynikający z realizacji programu nauczania oraz systematyczny i aktywny udział w lekcjach wychowania fizycznego, pływania.</w:t>
      </w:r>
    </w:p>
    <w:p>
      <w:pPr>
        <w:pStyle w:val="ListParagraph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Oceny są jawne zarówno dla ucznia, jak i jego rodziców (opiekunów prawnych).</w:t>
      </w:r>
    </w:p>
    <w:p>
      <w:pPr>
        <w:pStyle w:val="ListParagraph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Oceny bieżące (cząstkowe) oraz semestralne i roczne wyrażone są w stopniach  </w:t>
        <w:br/>
        <w:t>wg następującej skali ocen: </w:t>
      </w:r>
    </w:p>
    <w:p>
      <w:pPr>
        <w:pStyle w:val="Normal"/>
        <w:shd w:val="clear" w:color="auto" w:fill="FFFFFF"/>
        <w:ind w:left="294" w:right="12" w:hanging="0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bardzo dobry - 5 (bardzo dobrze), dobry – 4 (ładnie), dostateczny - 3 (postaraj się), dopuszczający - 2 (pracuj więcej).</w:t>
      </w:r>
    </w:p>
    <w:p>
      <w:pPr>
        <w:pStyle w:val="ListParagraph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Oceny bieżące odpowiadają ocenie dydaktycznej i uwzględniają wiadomości  </w:t>
        <w:br/>
        <w:t>i umiejętności ucznia określone materiałem nauczania z wychowania fizycznego. Natomiast oceny semestralne i końcowe odpowiadają ocenie społeczno – wychowawczej i obejmują również ocenę aktywności ucznia, systematyczności pracy i wkładu pracy ucznia na lekcjach wychowania fizycznego, pływania.</w:t>
      </w:r>
    </w:p>
    <w:p>
      <w:pPr>
        <w:pStyle w:val="ListParagraph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Minimalną ilość ocen cząstkowych w semestrze określa się na 5, w tym 2 z pływania.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pl-PL"/>
        </w:rPr>
        <w:t>Ucze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ń bez podania przyczyny ma prawo zgłosić dwukrotny brak stroju w semestrze z wf </w:t>
      </w:r>
      <w:r>
        <w:rPr/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 jeden z pływania („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>np.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”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>). Trzykrotny brak stroju z wf i dwukrotny z pływania skutkuje otrzymaniem ocen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y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l-PL" w:eastAsia="en-US" w:bidi="ar-SA"/>
        </w:rPr>
        <w:t>dopuszczającej (pracuj więcej)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a każde następne nieprzygotowanie do lekcji, jest równoznaczne z otrzymaniem kolejnej oceny dopuszczającej.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Umiejętności ruchowe ucznia oceniane będą na podstawie zadań kontrolno-oceniających, pozwalających na ustalenie poziomu opanowania tych umiejętności.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Wiadomości oceniane będą poprzez zadawanie pytań, dyskusje tematyczne związane</w:t>
        <w:br/>
        <w:t>z edukacją zdrowotną, znajomością techniki i przepisów gier zespołowych</w:t>
        <w:br/>
        <w:t>i rekreacyjnych. Uczniowie powinni wykazać się wiadomościami z zakresu kultury fizycznej, olimpiad, przepisów dyscyplin sportowych, aktualności sportowych, tematyki dotyczącej zdrowego stylu życia.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Ocena ze sprawności fizycznej będzie przede wszystkim wynikać z postępów ucznia, </w:t>
        <w:br/>
        <w:t>a nie z poziomu, jaki aktualnie reprezentuje /chyba że uczeń osiąga bardzo dobre wyniki/.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wystawia się oceny dopuszczającej (pracuj więcej)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l-PL" w:eastAsia="pl-PL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za próby sprawności fizycznej </w:t>
        <w:br/>
        <w:t>z wyjątkiem sytuacji, w której uczeń nie podejmuje się wykonania próby lub rezygnuje z niej i nie ma to związku z jego złym samopoczuciem psychofizycznym lub urazem.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Szkolne ocenianie z wychowania fizycznego ma być czynnikiem motywującym uczniów do aktywności fizycznej w wymiarze teraźniejszym i przyszłościowym.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Nauczyciel jest zobowiązany na podstawie pisemnej opinii poradni psychologiczno-pedagogicznej lub innej poradni specjalistycznej obniżyć wymagania edukacyjne </w:t>
        <w:br/>
        <w:t>w stosunku do ucznia, u którego stwierdzono specyficzne trudności w uczeniu się lub deficyty rozwojowe, uniemożliwiające sprostanie wymaganiom edukacyjnym z programu nauczania.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Uczeń i rodzice zobowiązani są do zgłaszania nauczycielowi wszelkich przeciwwskazań do wykonywania ćwiczeń (przebyte i obecne choroby, urazy).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Ocena z wychowania fizycznego może być podniesiona za dodatkową aktywność ucznia, np. udział w zajęciach rekreacyjno-sportowych, zawodach sportowych, turniejach</w:t>
        <w:br/>
        <w:t>i rozgrywkach pozaszkolnych oraz stały postęp ucznia w usprawnianiu.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Obniżenie oceny z wychowania fizycznego na koniec semestru lub roku szkolnego następuje wskutek negatywnej postawy ucznia, np. częste braki stroju, niesystematyczne ćwiczenie, sporadyczne uczestniczenie w sprawdzianach kontrolno-oceniających, brak właściwego zaangażowania w czasie poszczególnych lekcji.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Uczeń może być zwolniony z zajęć wychowania fizycznego, pływania decyzją administracyjną dyrektora szkoły na podstawie opinii o ograniczonych możliwościach uczestniczenia w tych zajęciach, wydanej przez lekarza, na czas określony w tej opinii.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 realizacji treści wychowania fizycznego, należy włączać uczniów czasowo bądź trwale zwolnionych z ćwiczeń fizycznych. Dotyczy to kompetencji z zakresu wiedzy</w:t>
        <w:br/>
        <w:t>w każdym bloku tematycznym oraz wybranych kompetencji z zakresu umiejętności</w:t>
        <w:br/>
        <w:t>ze szczególnym uwzględnieniem bloku edukacja zdrowotna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Proponowany system oceniania daje możliwość zdobycia ocen bardzo dobrych i dobrych nawet tym uczniom, u których motoryka jest słabiej rozwinięta, ponieważ na lekcjach wychowania fizycznego najbardziej liczą się: chęci - czyli stosunek ucznia do własnych możliwości, postęp - czyli opis poziomu osiągniętych zmian w stosunku do diagnozy wstępnej, postawa - czyli stosunek do partnera, przeciwnika, sędziego, nauczyciela, diagnoza - czyli wynik osiągnięty w sportach wymiernych i dokładność wykonywania ćwiczeń, a nie osiąganie konkretnych wyników sportowych.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inherit">
    <w:charset w:val="ee"/>
    <w:family w:val="roman"/>
    <w:pitch w:val="variable"/>
  </w:font>
  <w:font w:name="Arial"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212667801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sz w:val="32"/>
            <w:szCs w:val="32"/>
          </w:rPr>
        </w:pPr>
        <w:r>
          <w:rPr>
            <w:rFonts w:ascii="Helvetica" w:hAnsi="Helvetica"/>
            <w:b/>
            <w:bCs/>
            <w:sz w:val="18"/>
            <w:szCs w:val="18"/>
            <w:shd w:fill="FFFFFF" w:val="clear"/>
          </w:rPr>
          <w:t>Szkoła Podstawowa nr 58 z Oddziałami Integracyjnymi im. Marii Dąbrowskiej</w:t>
        </w:r>
      </w:p>
    </w:sdtContent>
  </w:sdt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5003"/>
    <w:pPr>
      <w:widowControl/>
      <w:suppressAutoHyphens w:val="true"/>
      <w:bidi w:val="0"/>
      <w:spacing w:lineRule="auto" w:line="36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f0112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ef011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f011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05003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f0112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ef0112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f0112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9556C4BD5224CF9B62B585296D4D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5ED8C9-BC57-4062-9C6E-DB6E09085FD2}"/>
      </w:docPartPr>
      <w:docPartBody>
        <w:p w:rsidR="00845CE6" w:rsidRDefault="00E855E6" w:rsidP="00E855E6">
          <w:pPr>
            <w:pStyle w:val="69556C4BD5224CF9B62B585296D4D2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855E6"/>
    <w:rsid w:val="001E7CD9"/>
    <w:rsid w:val="002D5D99"/>
    <w:rsid w:val="00845CE6"/>
    <w:rsid w:val="00930912"/>
    <w:rsid w:val="00D16C93"/>
    <w:rsid w:val="00E70AE4"/>
    <w:rsid w:val="00E8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9556C4BD5224CF9B62B585296D4D24D">
    <w:name w:val="69556C4BD5224CF9B62B585296D4D24D"/>
    <w:rsid w:val="00E855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BAE0-1887-43AF-A89D-2A586E27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LibreOffice/7.0.1.2$Windows_X86_64 LibreOffice_project/7cbcfc562f6eb6708b5ff7d7397325de9e764452</Application>
  <Pages>4</Pages>
  <Words>806</Words>
  <Characters>5397</Characters>
  <CharactersWithSpaces>6185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Xkom</dc:creator>
  <dc:description/>
  <dc:language>pl-PL</dc:language>
  <cp:lastModifiedBy/>
  <dcterms:modified xsi:type="dcterms:W3CDTF">2024-09-20T15:56:08Z</dcterms:modified>
  <cp:revision>15</cp:revision>
  <dc:subject/>
  <dc:title>Szkoła Podstawowa nr 58 z Oddziałami Integracyjnymi im. Marii Dąbrowskiej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