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4</w:t>
      </w:r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</w:t>
            </w:r>
            <w:r>
              <w:rPr>
                <w:rFonts w:hint="default"/>
                <w:sz w:val="24"/>
                <w:szCs w:val="24"/>
                <w:lang w:val="pl-PL"/>
              </w:rPr>
              <w:t xml:space="preserve"> który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pl-PL"/>
              </w:rPr>
              <w:t>w</w:t>
            </w:r>
            <w:r>
              <w:rPr>
                <w:sz w:val="24"/>
                <w:szCs w:val="24"/>
              </w:rPr>
              <w:t>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Stopień dostateczny otrzymuje uczeń, </w:t>
            </w:r>
            <w:r>
              <w:rPr>
                <w:rFonts w:hint="default"/>
                <w:sz w:val="24"/>
                <w:szCs w:val="24"/>
                <w:lang w:val="pl-PL"/>
              </w:rPr>
              <w:t>który z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97D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22260B59"/>
    <w:rsid w:val="53C8032B"/>
    <w:rsid w:val="685E4E97"/>
    <w:rsid w:val="6AD227CD"/>
    <w:rsid w:val="6E2B704C"/>
    <w:rsid w:val="756916FC"/>
    <w:rsid w:val="793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32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8AC958A6EC2C44DE9950F4954E7B8980_13</vt:lpwstr>
  </property>
</Properties>
</file>